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963210" w:rsidP="00E42581">
      <w:pPr>
        <w:spacing w:after="0" w:line="240" w:lineRule="auto"/>
        <w:rPr>
          <w:rFonts w:ascii="Segoe UI" w:hAnsi="Segoe UI" w:cs="Segoe UI"/>
          <w:bCs/>
          <w:sz w:val="28"/>
          <w:szCs w:val="28"/>
        </w:rPr>
      </w:pPr>
      <w:r w:rsidRPr="0096321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25pt;height:96pt;visibility:visible">
            <v:imagedata r:id="rId7" o:title="логотип_белый фон"/>
          </v:shape>
        </w:pict>
      </w: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8D3949" w:rsidRPr="008D3949" w:rsidRDefault="008D3949" w:rsidP="00FC7C29">
      <w:pPr>
        <w:pStyle w:val="ConsPlusNormal"/>
        <w:spacing w:after="120"/>
        <w:ind w:firstLine="0"/>
        <w:jc w:val="center"/>
        <w:rPr>
          <w:rFonts w:ascii="Segoe UI" w:hAnsi="Segoe UI" w:cs="Segoe UI"/>
          <w:sz w:val="30"/>
          <w:szCs w:val="30"/>
        </w:rPr>
      </w:pPr>
    </w:p>
    <w:p w:rsidR="00865114" w:rsidRDefault="00865114" w:rsidP="00865114">
      <w:pPr>
        <w:spacing w:after="120" w:line="240" w:lineRule="auto"/>
        <w:jc w:val="center"/>
        <w:rPr>
          <w:rFonts w:ascii="Segoe UI" w:hAnsi="Segoe UI" w:cs="Segoe UI"/>
          <w:sz w:val="32"/>
          <w:szCs w:val="32"/>
        </w:rPr>
      </w:pPr>
      <w:r>
        <w:rPr>
          <w:rFonts w:ascii="Segoe UI" w:hAnsi="Segoe UI" w:cs="Segoe UI"/>
          <w:sz w:val="32"/>
          <w:szCs w:val="32"/>
        </w:rPr>
        <w:t xml:space="preserve">Собственников Алтайского края не обязывают </w:t>
      </w:r>
      <w:r w:rsidRPr="00B545C3">
        <w:rPr>
          <w:rFonts w:ascii="Segoe UI" w:hAnsi="Segoe UI" w:cs="Segoe UI"/>
          <w:sz w:val="32"/>
          <w:szCs w:val="32"/>
        </w:rPr>
        <w:t>межева</w:t>
      </w:r>
      <w:r>
        <w:rPr>
          <w:rFonts w:ascii="Segoe UI" w:hAnsi="Segoe UI" w:cs="Segoe UI"/>
          <w:sz w:val="32"/>
          <w:szCs w:val="32"/>
        </w:rPr>
        <w:t>ть</w:t>
      </w:r>
      <w:r w:rsidRPr="00B545C3">
        <w:rPr>
          <w:rFonts w:ascii="Segoe UI" w:hAnsi="Segoe UI" w:cs="Segoe UI"/>
          <w:sz w:val="32"/>
          <w:szCs w:val="32"/>
        </w:rPr>
        <w:t xml:space="preserve"> </w:t>
      </w:r>
      <w:r>
        <w:rPr>
          <w:rFonts w:ascii="Segoe UI" w:hAnsi="Segoe UI" w:cs="Segoe UI"/>
          <w:sz w:val="32"/>
          <w:szCs w:val="32"/>
        </w:rPr>
        <w:t xml:space="preserve">свои </w:t>
      </w:r>
      <w:r w:rsidRPr="00B545C3">
        <w:rPr>
          <w:rFonts w:ascii="Segoe UI" w:hAnsi="Segoe UI" w:cs="Segoe UI"/>
          <w:sz w:val="32"/>
          <w:szCs w:val="32"/>
        </w:rPr>
        <w:t>земельны</w:t>
      </w:r>
      <w:r>
        <w:rPr>
          <w:rFonts w:ascii="Segoe UI" w:hAnsi="Segoe UI" w:cs="Segoe UI"/>
          <w:sz w:val="32"/>
          <w:szCs w:val="32"/>
        </w:rPr>
        <w:t>е</w:t>
      </w:r>
      <w:r w:rsidRPr="00B545C3">
        <w:rPr>
          <w:rFonts w:ascii="Segoe UI" w:hAnsi="Segoe UI" w:cs="Segoe UI"/>
          <w:sz w:val="32"/>
          <w:szCs w:val="32"/>
        </w:rPr>
        <w:t xml:space="preserve"> участк</w:t>
      </w:r>
      <w:r>
        <w:rPr>
          <w:rFonts w:ascii="Segoe UI" w:hAnsi="Segoe UI" w:cs="Segoe UI"/>
          <w:sz w:val="32"/>
          <w:szCs w:val="32"/>
        </w:rPr>
        <w:t>и – Росреестр</w:t>
      </w:r>
    </w:p>
    <w:p w:rsidR="00865114" w:rsidRPr="00865114" w:rsidRDefault="00865114" w:rsidP="00865114">
      <w:pPr>
        <w:spacing w:after="120" w:line="240" w:lineRule="auto"/>
        <w:jc w:val="center"/>
        <w:rPr>
          <w:rFonts w:ascii="Segoe UI" w:hAnsi="Segoe UI" w:cs="Segoe UI"/>
          <w:sz w:val="6"/>
          <w:szCs w:val="6"/>
        </w:rPr>
      </w:pPr>
    </w:p>
    <w:p w:rsidR="00B545C3" w:rsidRPr="00B545C3" w:rsidRDefault="00B545C3" w:rsidP="00B545C3">
      <w:pPr>
        <w:autoSpaceDE w:val="0"/>
        <w:autoSpaceDN w:val="0"/>
        <w:adjustRightInd w:val="0"/>
        <w:spacing w:after="120" w:line="240" w:lineRule="auto"/>
        <w:jc w:val="both"/>
        <w:rPr>
          <w:rFonts w:ascii="Segoe UI" w:hAnsi="Segoe UI" w:cs="Segoe UI"/>
          <w:color w:val="000000"/>
          <w:sz w:val="24"/>
          <w:szCs w:val="24"/>
        </w:rPr>
      </w:pPr>
      <w:r w:rsidRPr="00B545C3">
        <w:rPr>
          <w:rFonts w:ascii="Segoe UI" w:hAnsi="Segoe UI" w:cs="Segoe UI"/>
          <w:color w:val="000000"/>
          <w:sz w:val="24"/>
          <w:szCs w:val="24"/>
        </w:rPr>
        <w:t xml:space="preserve">В связи с участившимися вопросами от граждан, Управление Росреестра по Алтайскому краю повторно </w:t>
      </w:r>
      <w:r w:rsidRPr="00B545C3">
        <w:rPr>
          <w:rFonts w:ascii="Segoe UI" w:hAnsi="Segoe UI" w:cs="Segoe UI"/>
          <w:b/>
          <w:color w:val="000000"/>
          <w:sz w:val="24"/>
          <w:szCs w:val="24"/>
        </w:rPr>
        <w:t>обращает внимание</w:t>
      </w:r>
      <w:r w:rsidRPr="00B545C3">
        <w:rPr>
          <w:rFonts w:ascii="Segoe UI" w:hAnsi="Segoe UI" w:cs="Segoe UI"/>
          <w:color w:val="000000"/>
          <w:sz w:val="24"/>
          <w:szCs w:val="24"/>
        </w:rPr>
        <w:t xml:space="preserve"> на то, что законодатель не обязывает собственников проводить межевание земельных участков с 1 января 2018 года. </w:t>
      </w:r>
    </w:p>
    <w:p w:rsidR="00B545C3" w:rsidRPr="00B545C3" w:rsidRDefault="00B545C3" w:rsidP="00B545C3">
      <w:pPr>
        <w:autoSpaceDE w:val="0"/>
        <w:autoSpaceDN w:val="0"/>
        <w:adjustRightInd w:val="0"/>
        <w:spacing w:after="120" w:line="240" w:lineRule="auto"/>
        <w:jc w:val="both"/>
        <w:rPr>
          <w:rFonts w:ascii="Segoe UI" w:hAnsi="Segoe UI" w:cs="Segoe UI"/>
          <w:color w:val="000000"/>
          <w:sz w:val="24"/>
          <w:szCs w:val="24"/>
        </w:rPr>
      </w:pPr>
      <w:r w:rsidRPr="00B545C3">
        <w:rPr>
          <w:rFonts w:ascii="Segoe UI" w:hAnsi="Segoe UI" w:cs="Segoe UI"/>
          <w:color w:val="000000"/>
          <w:sz w:val="24"/>
          <w:szCs w:val="24"/>
        </w:rPr>
        <w:t xml:space="preserve">Действующее законодательство </w:t>
      </w:r>
      <w:r w:rsidRPr="00B545C3">
        <w:rPr>
          <w:rFonts w:ascii="Segoe UI" w:hAnsi="Segoe UI" w:cs="Segoe UI"/>
          <w:b/>
          <w:color w:val="000000"/>
          <w:sz w:val="24"/>
          <w:szCs w:val="24"/>
        </w:rPr>
        <w:t>не содержит</w:t>
      </w:r>
      <w:r w:rsidRPr="00B545C3">
        <w:rPr>
          <w:rFonts w:ascii="Segoe UI" w:hAnsi="Segoe UI" w:cs="Segoe UI"/>
          <w:color w:val="000000"/>
          <w:sz w:val="24"/>
          <w:szCs w:val="24"/>
        </w:rPr>
        <w:t xml:space="preserve"> ограничения на совершение сделок с земельными участками, сведения о которых содержатся в ЕГРН, но их границы не установлены, а также какие-либо точные сроки установления границ.</w:t>
      </w:r>
    </w:p>
    <w:p w:rsidR="00B545C3" w:rsidRPr="00B545C3" w:rsidRDefault="00B545C3" w:rsidP="00B545C3">
      <w:pPr>
        <w:pStyle w:val="consplusnormal0"/>
        <w:spacing w:before="0" w:beforeAutospacing="0" w:after="120" w:afterAutospacing="0"/>
        <w:jc w:val="both"/>
        <w:rPr>
          <w:rFonts w:ascii="Segoe UI" w:hAnsi="Segoe UI" w:cs="Segoe UI"/>
        </w:rPr>
      </w:pPr>
      <w:r w:rsidRPr="00B545C3">
        <w:rPr>
          <w:rFonts w:ascii="Segoe UI" w:hAnsi="Segoe UI" w:cs="Segoe UI"/>
          <w:color w:val="000000"/>
        </w:rPr>
        <w:t xml:space="preserve">Вместе с тем, </w:t>
      </w:r>
      <w:r w:rsidRPr="00B545C3">
        <w:rPr>
          <w:rFonts w:ascii="Segoe UI" w:hAnsi="Segoe UI" w:cs="Segoe UI"/>
          <w:noProof/>
          <w:lang w:eastAsia="sk-SK"/>
        </w:rPr>
        <w:t>Управление Росреестра по Алтайскому краю</w:t>
      </w:r>
      <w:r w:rsidRPr="00B545C3">
        <w:rPr>
          <w:rFonts w:ascii="Segoe UI" w:hAnsi="Segoe UI" w:cs="Segoe UI"/>
        </w:rPr>
        <w:t xml:space="preserve"> рекомендует правообладателям земельных участков, не имеющих точных границ, рассмотреть возможность проведения </w:t>
      </w:r>
      <w:r w:rsidRPr="00B545C3">
        <w:rPr>
          <w:rFonts w:ascii="Segoe UI" w:hAnsi="Segoe UI" w:cs="Segoe UI"/>
          <w:b/>
        </w:rPr>
        <w:t>межевания</w:t>
      </w:r>
      <w:r w:rsidRPr="00B545C3">
        <w:rPr>
          <w:rFonts w:ascii="Segoe UI" w:hAnsi="Segoe UI" w:cs="Segoe UI"/>
        </w:rPr>
        <w:t>. Процедура эта, бесспорно, нужная. Внесение в ЕГРН сведений о границах избавит владельцев от проблем из-за возможных споров с соседями и с органами публичной власти. Количество обращений в суды по спорам о границах участков становится всё больше. Встречаются и случаи мошенничества, когда продают чужие земельные участки, пользуясь отсутствием сведений об их точном местоположении.</w:t>
      </w:r>
    </w:p>
    <w:p w:rsidR="00B545C3" w:rsidRPr="00B545C3" w:rsidRDefault="00B545C3" w:rsidP="00B545C3">
      <w:pPr>
        <w:autoSpaceDE w:val="0"/>
        <w:autoSpaceDN w:val="0"/>
        <w:adjustRightInd w:val="0"/>
        <w:spacing w:after="120" w:line="240" w:lineRule="auto"/>
        <w:jc w:val="both"/>
        <w:rPr>
          <w:rFonts w:ascii="Segoe UI" w:hAnsi="Segoe UI" w:cs="Segoe UI"/>
          <w:sz w:val="24"/>
          <w:szCs w:val="24"/>
        </w:rPr>
      </w:pPr>
      <w:r w:rsidRPr="00B545C3">
        <w:rPr>
          <w:rFonts w:ascii="Segoe UI" w:hAnsi="Segoe UI" w:cs="Segoe UI"/>
          <w:sz w:val="24"/>
          <w:szCs w:val="24"/>
        </w:rPr>
        <w:t xml:space="preserve">Следует помнить: государственная регистрация права в Едином государственном реестре недвижимости является </w:t>
      </w:r>
      <w:r w:rsidRPr="00B545C3">
        <w:rPr>
          <w:rFonts w:ascii="Segoe UI" w:hAnsi="Segoe UI" w:cs="Segoe UI"/>
          <w:b/>
          <w:sz w:val="24"/>
          <w:szCs w:val="24"/>
        </w:rPr>
        <w:t>единственным</w:t>
      </w:r>
      <w:r w:rsidRPr="00B545C3">
        <w:rPr>
          <w:rFonts w:ascii="Segoe UI" w:hAnsi="Segoe UI" w:cs="Segoe UI"/>
          <w:sz w:val="24"/>
          <w:szCs w:val="24"/>
        </w:rPr>
        <w:t xml:space="preserve"> доказательством существования зарегистрированного права. Зарегистрированное в Едином реестре право на недвижимое имущество может быть оспорено только в судебном порядке.</w:t>
      </w:r>
    </w:p>
    <w:p w:rsidR="00B545C3" w:rsidRPr="00B545C3" w:rsidRDefault="00B545C3" w:rsidP="00B545C3">
      <w:pPr>
        <w:pStyle w:val="consplusnormal0"/>
        <w:spacing w:before="0" w:beforeAutospacing="0" w:after="120" w:afterAutospacing="0"/>
        <w:jc w:val="both"/>
        <w:rPr>
          <w:rFonts w:ascii="Segoe UI" w:hAnsi="Segoe UI" w:cs="Segoe UI"/>
        </w:rPr>
      </w:pPr>
      <w:r w:rsidRPr="00B545C3">
        <w:rPr>
          <w:rFonts w:ascii="Segoe UI" w:hAnsi="Segoe UI" w:cs="Segoe UI"/>
        </w:rPr>
        <w:t xml:space="preserve">На сегодняшний день из 1,2 млн. земельных участков в Алтайском крае, актуальные сведения о которых внесены в Единый государственный реестр недвижимости, только у </w:t>
      </w:r>
      <w:r w:rsidRPr="00B545C3">
        <w:rPr>
          <w:rFonts w:ascii="Segoe UI" w:hAnsi="Segoe UI" w:cs="Segoe UI"/>
          <w:b/>
        </w:rPr>
        <w:t>68%</w:t>
      </w:r>
      <w:r w:rsidRPr="00B545C3">
        <w:rPr>
          <w:rFonts w:ascii="Segoe UI" w:hAnsi="Segoe UI" w:cs="Segoe UI"/>
        </w:rPr>
        <w:t xml:space="preserve"> установлены границы в соответствии с Законом.</w:t>
      </w:r>
    </w:p>
    <w:p w:rsidR="00B545C3" w:rsidRPr="00B545C3" w:rsidRDefault="00B545C3" w:rsidP="00B545C3">
      <w:pPr>
        <w:spacing w:after="120" w:line="240" w:lineRule="auto"/>
        <w:jc w:val="both"/>
        <w:rPr>
          <w:rFonts w:ascii="Segoe UI" w:hAnsi="Segoe UI" w:cs="Segoe UI"/>
          <w:sz w:val="24"/>
          <w:szCs w:val="24"/>
        </w:rPr>
      </w:pPr>
      <w:r w:rsidRPr="00B545C3">
        <w:rPr>
          <w:rFonts w:ascii="Segoe UI" w:hAnsi="Segoe UI" w:cs="Segoe UI"/>
          <w:sz w:val="24"/>
          <w:szCs w:val="24"/>
        </w:rPr>
        <w:t xml:space="preserve">Информацию о наличии/отсутствии сведений о границах земельных участков можно получить из общедоступного Интернет-ресурса - </w:t>
      </w:r>
      <w:r w:rsidRPr="00B545C3">
        <w:rPr>
          <w:rFonts w:ascii="Segoe UI" w:hAnsi="Segoe UI" w:cs="Segoe UI"/>
          <w:b/>
          <w:sz w:val="24"/>
          <w:szCs w:val="24"/>
        </w:rPr>
        <w:t>публичной кадастровой карты</w:t>
      </w:r>
      <w:r w:rsidRPr="00B545C3">
        <w:rPr>
          <w:rFonts w:ascii="Segoe UI" w:hAnsi="Segoe UI" w:cs="Segoe UI"/>
          <w:sz w:val="24"/>
          <w:szCs w:val="24"/>
        </w:rPr>
        <w:t xml:space="preserve"> (</w:t>
      </w:r>
      <w:hyperlink r:id="rId8" w:history="1">
        <w:r w:rsidRPr="00865114">
          <w:rPr>
            <w:rStyle w:val="a8"/>
            <w:rFonts w:ascii="Segoe UI" w:hAnsi="Segoe UI" w:cs="Segoe UI"/>
            <w:color w:val="auto"/>
            <w:sz w:val="24"/>
            <w:szCs w:val="24"/>
            <w:u w:val="none"/>
          </w:rPr>
          <w:t>http://pkk5.rosreestr.ru</w:t>
        </w:r>
      </w:hyperlink>
      <w:r w:rsidRPr="00B545C3">
        <w:rPr>
          <w:rFonts w:ascii="Segoe UI" w:hAnsi="Segoe UI" w:cs="Segoe UI"/>
          <w:sz w:val="24"/>
          <w:szCs w:val="24"/>
        </w:rPr>
        <w:t>). Кроме того, запрос о предоставлении сведений, внесённых в Единый реестр недвижимости, можно подать через любой филиал КАУ «МФЦ Алтайского края».</w:t>
      </w:r>
    </w:p>
    <w:p w:rsidR="00B545C3" w:rsidRDefault="00B545C3" w:rsidP="00B545C3">
      <w:pPr>
        <w:spacing w:after="120" w:line="240" w:lineRule="auto"/>
        <w:jc w:val="both"/>
        <w:rPr>
          <w:rFonts w:ascii="Segoe UI" w:hAnsi="Segoe UI" w:cs="Segoe UI"/>
          <w:color w:val="000000"/>
          <w:sz w:val="24"/>
          <w:szCs w:val="24"/>
        </w:rPr>
      </w:pPr>
      <w:r w:rsidRPr="00B545C3">
        <w:rPr>
          <w:rFonts w:ascii="Segoe UI" w:hAnsi="Segoe UI" w:cs="Segoe UI"/>
          <w:color w:val="000000"/>
          <w:sz w:val="24"/>
          <w:szCs w:val="24"/>
        </w:rPr>
        <w:t>Напоминаем: внесение в Единый государственный реестр недвижимости сведений о границах является</w:t>
      </w:r>
      <w:r w:rsidRPr="00B545C3">
        <w:rPr>
          <w:rFonts w:ascii="Segoe UI" w:hAnsi="Segoe UI" w:cs="Segoe UI"/>
          <w:b/>
          <w:color w:val="000000"/>
          <w:sz w:val="24"/>
          <w:szCs w:val="24"/>
        </w:rPr>
        <w:t xml:space="preserve"> гарантией</w:t>
      </w:r>
      <w:r w:rsidRPr="00B545C3">
        <w:rPr>
          <w:rFonts w:ascii="Segoe UI" w:hAnsi="Segoe UI" w:cs="Segoe UI"/>
          <w:color w:val="000000"/>
          <w:sz w:val="24"/>
          <w:szCs w:val="24"/>
        </w:rPr>
        <w:t xml:space="preserve"> прав собственников, сводит к минимуму возникновение земельных споров и позволяет правильно начислять налог на имущество.</w:t>
      </w:r>
    </w:p>
    <w:p w:rsidR="00B545C3" w:rsidRDefault="00B545C3" w:rsidP="00B545C3">
      <w:pPr>
        <w:spacing w:after="120" w:line="240" w:lineRule="auto"/>
        <w:jc w:val="both"/>
        <w:rPr>
          <w:rFonts w:ascii="Segoe UI" w:hAnsi="Segoe UI" w:cs="Segoe UI"/>
          <w:color w:val="000000"/>
          <w:sz w:val="24"/>
          <w:szCs w:val="24"/>
        </w:rPr>
      </w:pPr>
    </w:p>
    <w:p w:rsidR="00865114" w:rsidRDefault="00865114" w:rsidP="00B545C3">
      <w:pPr>
        <w:spacing w:after="120" w:line="240" w:lineRule="auto"/>
        <w:jc w:val="both"/>
        <w:rPr>
          <w:rFonts w:ascii="Segoe UI" w:hAnsi="Segoe UI" w:cs="Segoe UI"/>
          <w:color w:val="000000"/>
          <w:sz w:val="24"/>
          <w:szCs w:val="24"/>
        </w:rPr>
      </w:pPr>
    </w:p>
    <w:p w:rsidR="008E5497" w:rsidRPr="008E5497" w:rsidRDefault="008E5497" w:rsidP="009C4618">
      <w:pPr>
        <w:jc w:val="both"/>
        <w:rPr>
          <w:rFonts w:ascii="Segoe UI" w:hAnsi="Segoe UI" w:cs="Segoe UI"/>
          <w:b/>
          <w:noProof/>
          <w:color w:val="548DD4"/>
          <w:lang w:eastAsia="sk-SK"/>
        </w:rPr>
      </w:pPr>
      <w:r w:rsidRPr="008E5497">
        <w:rPr>
          <w:rFonts w:ascii="Segoe UI" w:hAnsi="Segoe UI" w:cs="Segoe UI"/>
          <w:b/>
          <w:noProof/>
          <w:color w:val="548DD4"/>
          <w:lang w:eastAsia="sk-SK"/>
        </w:rPr>
        <w:lastRenderedPageBreak/>
        <w:t>____________________________________________________________________________________________________________</w:t>
      </w:r>
      <w:r w:rsidR="008D3949">
        <w:rPr>
          <w:rFonts w:ascii="Segoe UI" w:hAnsi="Segoe UI" w:cs="Segoe UI"/>
          <w:b/>
          <w:noProof/>
          <w:color w:val="548DD4"/>
          <w:lang w:eastAsia="sk-SK"/>
        </w:rPr>
        <w:t>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3F50EB" w:rsidRPr="003F50EB" w:rsidRDefault="008E5497" w:rsidP="008E5497">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w:t>
      </w:r>
      <w:r w:rsidR="003F50EB" w:rsidRPr="003F50EB">
        <w:rPr>
          <w:rFonts w:ascii="Segoe UI" w:hAnsi="Segoe UI" w:cs="Segoe UI"/>
          <w:sz w:val="18"/>
          <w:szCs w:val="18"/>
        </w:rPr>
        <w:t xml:space="preserve">за </w:t>
      </w:r>
      <w:r w:rsidRPr="003F50EB">
        <w:rPr>
          <w:rFonts w:ascii="Segoe UI" w:hAnsi="Segoe UI" w:cs="Segoe UI"/>
          <w:sz w:val="18"/>
          <w:szCs w:val="18"/>
        </w:rPr>
        <w:t>деятельност</w:t>
      </w:r>
      <w:r w:rsidR="003F50EB" w:rsidRPr="003F50EB">
        <w:rPr>
          <w:rFonts w:ascii="Segoe UI" w:hAnsi="Segoe UI" w:cs="Segoe UI"/>
          <w:sz w:val="18"/>
          <w:szCs w:val="18"/>
        </w:rPr>
        <w:t>ью</w:t>
      </w:r>
      <w:r w:rsidRPr="003F50EB">
        <w:rPr>
          <w:rFonts w:ascii="Segoe UI" w:hAnsi="Segoe UI" w:cs="Segoe UI"/>
          <w:sz w:val="18"/>
          <w:szCs w:val="18"/>
        </w:rPr>
        <w:t xml:space="preserve"> саморегулируемых организаций арбитражных управляющих</w:t>
      </w:r>
      <w:r w:rsidR="003F50EB" w:rsidRPr="003F50EB">
        <w:rPr>
          <w:rFonts w:ascii="Segoe UI" w:hAnsi="Segoe UI" w:cs="Segoe UI"/>
          <w:sz w:val="18"/>
          <w:szCs w:val="18"/>
        </w:rPr>
        <w:t xml:space="preserve"> на территории Алтайского края</w:t>
      </w:r>
      <w:r w:rsidRPr="003F50EB">
        <w:rPr>
          <w:rFonts w:ascii="Segoe UI" w:hAnsi="Segoe UI" w:cs="Segoe UI"/>
          <w:sz w:val="18"/>
          <w:szCs w:val="18"/>
        </w:rPr>
        <w:t>. Подведомственным учреждени</w:t>
      </w:r>
      <w:r w:rsidR="003F50EB" w:rsidRPr="003F50EB">
        <w:rPr>
          <w:rFonts w:ascii="Segoe UI" w:hAnsi="Segoe UI" w:cs="Segoe UI"/>
          <w:sz w:val="18"/>
          <w:szCs w:val="18"/>
        </w:rPr>
        <w:t>ем</w:t>
      </w:r>
      <w:r w:rsidRPr="003F50EB">
        <w:rPr>
          <w:rFonts w:ascii="Segoe UI" w:hAnsi="Segoe UI" w:cs="Segoe UI"/>
          <w:sz w:val="18"/>
          <w:szCs w:val="18"/>
        </w:rPr>
        <w:t xml:space="preserve"> </w:t>
      </w:r>
      <w:r w:rsidR="003F50EB" w:rsidRPr="003F50EB">
        <w:rPr>
          <w:rFonts w:ascii="Segoe UI" w:hAnsi="Segoe UI" w:cs="Segoe UI"/>
          <w:sz w:val="18"/>
          <w:szCs w:val="18"/>
        </w:rPr>
        <w:t xml:space="preserve">Управления Росреестра по Алтайскому краю является филиал </w:t>
      </w:r>
      <w:r w:rsidRPr="003F50EB">
        <w:rPr>
          <w:rFonts w:ascii="Segoe UI" w:hAnsi="Segoe UI" w:cs="Segoe UI"/>
          <w:sz w:val="18"/>
          <w:szCs w:val="18"/>
        </w:rPr>
        <w:t xml:space="preserve">ФГБУ «ФКП Росреестра» </w:t>
      </w:r>
      <w:r w:rsidR="003F50EB" w:rsidRPr="003F50EB">
        <w:rPr>
          <w:rFonts w:ascii="Segoe UI" w:hAnsi="Segoe UI" w:cs="Segoe UI"/>
          <w:sz w:val="18"/>
          <w:szCs w:val="18"/>
        </w:rPr>
        <w:t>по Алтайскому краю. Руководител</w:t>
      </w:r>
      <w:r w:rsidR="003F50EB">
        <w:rPr>
          <w:rFonts w:ascii="Segoe UI" w:hAnsi="Segoe UI" w:cs="Segoe UI"/>
          <w:sz w:val="18"/>
          <w:szCs w:val="18"/>
        </w:rPr>
        <w:t>ь</w:t>
      </w:r>
      <w:r w:rsidR="003F50EB" w:rsidRPr="003F50EB">
        <w:rPr>
          <w:rFonts w:ascii="Segoe UI" w:hAnsi="Segoe UI" w:cs="Segoe UI"/>
          <w:sz w:val="18"/>
          <w:szCs w:val="18"/>
        </w:rPr>
        <w:t xml:space="preserve"> Управления Росреестра по Алтайскому краю</w:t>
      </w:r>
      <w:r w:rsidR="003F50EB" w:rsidRPr="003F50EB">
        <w:rPr>
          <w:rFonts w:ascii="Segoe UI" w:hAnsi="Segoe UI" w:cs="Segoe UI"/>
          <w:color w:val="000000"/>
          <w:sz w:val="18"/>
          <w:szCs w:val="18"/>
        </w:rPr>
        <w:t>, главны</w:t>
      </w:r>
      <w:r w:rsidR="003F50EB">
        <w:rPr>
          <w:rFonts w:ascii="Segoe UI" w:hAnsi="Segoe UI" w:cs="Segoe UI"/>
          <w:color w:val="000000"/>
          <w:sz w:val="18"/>
          <w:szCs w:val="18"/>
        </w:rPr>
        <w:t>й</w:t>
      </w:r>
      <w:r w:rsidR="003F50EB" w:rsidRPr="003F50EB">
        <w:rPr>
          <w:rFonts w:ascii="Segoe UI" w:hAnsi="Segoe UI" w:cs="Segoe UI"/>
          <w:color w:val="000000"/>
          <w:sz w:val="18"/>
          <w:szCs w:val="18"/>
        </w:rPr>
        <w:t xml:space="preserve"> регистратор</w:t>
      </w:r>
      <w:r w:rsidR="003F50EB">
        <w:rPr>
          <w:rFonts w:ascii="Segoe UI" w:hAnsi="Segoe UI" w:cs="Segoe UI"/>
          <w:color w:val="000000"/>
          <w:sz w:val="18"/>
          <w:szCs w:val="18"/>
        </w:rPr>
        <w:t xml:space="preserve"> </w:t>
      </w:r>
      <w:r w:rsidR="003F50EB" w:rsidRPr="003F50EB">
        <w:rPr>
          <w:rFonts w:ascii="Segoe UI" w:hAnsi="Segoe UI" w:cs="Segoe UI"/>
          <w:color w:val="000000"/>
          <w:sz w:val="18"/>
          <w:szCs w:val="18"/>
        </w:rPr>
        <w:t>Алтайского края</w:t>
      </w:r>
      <w:r w:rsidR="003F50EB">
        <w:rPr>
          <w:rFonts w:ascii="Segoe UI" w:hAnsi="Segoe UI" w:cs="Segoe UI"/>
          <w:sz w:val="18"/>
          <w:szCs w:val="18"/>
        </w:rPr>
        <w:t xml:space="preserve"> -</w:t>
      </w:r>
      <w:r w:rsidR="003F50EB" w:rsidRPr="003F50EB">
        <w:rPr>
          <w:rFonts w:ascii="Segoe UI" w:hAnsi="Segoe UI" w:cs="Segoe UI"/>
          <w:sz w:val="18"/>
          <w:szCs w:val="18"/>
        </w:rPr>
        <w:t xml:space="preserve"> Юрий Викторович Калашников. </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8E5497" w:rsidP="008E5497">
      <w:pPr>
        <w:pStyle w:val="ac"/>
        <w:spacing w:after="0"/>
        <w:rPr>
          <w:rFonts w:ascii="Segoe UI" w:hAnsi="Segoe UI" w:cs="Segoe UI"/>
          <w:sz w:val="20"/>
          <w:szCs w:val="20"/>
        </w:rPr>
      </w:pPr>
      <w:hyperlink r:id="rId9" w:history="1">
        <w:r w:rsidRPr="008E5497">
          <w:rPr>
            <w:rStyle w:val="a8"/>
            <w:rFonts w:ascii="Segoe UI" w:hAnsi="Segoe UI" w:cs="Segoe UI"/>
            <w:sz w:val="20"/>
            <w:szCs w:val="20"/>
            <w:shd w:val="clear" w:color="auto" w:fill="FFFFFF"/>
          </w:rPr>
          <w:t>22press_rosreestr@mail.ru</w:t>
        </w:r>
      </w:hyperlink>
    </w:p>
    <w:p w:rsidR="008E5497" w:rsidRPr="008E5497" w:rsidRDefault="008E5497" w:rsidP="008E5497">
      <w:pPr>
        <w:pStyle w:val="ac"/>
        <w:spacing w:after="0"/>
        <w:rPr>
          <w:rStyle w:val="a8"/>
          <w:rFonts w:ascii="Segoe UI" w:eastAsia="Calibri" w:hAnsi="Segoe UI" w:cs="Segoe UI"/>
          <w:sz w:val="20"/>
          <w:szCs w:val="20"/>
        </w:rPr>
      </w:pPr>
      <w:hyperlink r:id="rId10" w:history="1">
        <w:r w:rsidRPr="008E5497">
          <w:rPr>
            <w:rStyle w:val="a8"/>
            <w:rFonts w:ascii="Segoe UI" w:eastAsia="Calibri" w:hAnsi="Segoe UI" w:cs="Segoe UI"/>
            <w:sz w:val="20"/>
            <w:szCs w:val="20"/>
            <w:shd w:val="clear" w:color="auto" w:fill="FFFFFF"/>
            <w:lang w:val="en-US"/>
          </w:rPr>
          <w:t>www</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rosreestr</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A9158D">
      <w:headerReference w:type="even" r:id="rId11"/>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6DF" w:rsidRDefault="003516DF" w:rsidP="000E451D">
      <w:pPr>
        <w:spacing w:after="0" w:line="240" w:lineRule="auto"/>
      </w:pPr>
      <w:r>
        <w:separator/>
      </w:r>
    </w:p>
  </w:endnote>
  <w:endnote w:type="continuationSeparator" w:id="1">
    <w:p w:rsidR="003516DF" w:rsidRDefault="003516DF"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6DF" w:rsidRDefault="003516DF" w:rsidP="000E451D">
      <w:pPr>
        <w:spacing w:after="0" w:line="240" w:lineRule="auto"/>
      </w:pPr>
      <w:r>
        <w:separator/>
      </w:r>
    </w:p>
  </w:footnote>
  <w:footnote w:type="continuationSeparator" w:id="1">
    <w:p w:rsidR="003516DF" w:rsidRDefault="003516DF"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6A9"/>
    <w:rsid w:val="00022BA5"/>
    <w:rsid w:val="00041176"/>
    <w:rsid w:val="000547DB"/>
    <w:rsid w:val="000C4392"/>
    <w:rsid w:val="000D7EC7"/>
    <w:rsid w:val="000E451D"/>
    <w:rsid w:val="000E5C3A"/>
    <w:rsid w:val="00112024"/>
    <w:rsid w:val="00116CF1"/>
    <w:rsid w:val="00133568"/>
    <w:rsid w:val="001339E8"/>
    <w:rsid w:val="00143C1F"/>
    <w:rsid w:val="001B0FF4"/>
    <w:rsid w:val="001B4E7A"/>
    <w:rsid w:val="001B6AD7"/>
    <w:rsid w:val="001C6484"/>
    <w:rsid w:val="001D554C"/>
    <w:rsid w:val="00200DFC"/>
    <w:rsid w:val="00233608"/>
    <w:rsid w:val="0025295F"/>
    <w:rsid w:val="0025454F"/>
    <w:rsid w:val="00273797"/>
    <w:rsid w:val="00290A85"/>
    <w:rsid w:val="002B299B"/>
    <w:rsid w:val="002C4762"/>
    <w:rsid w:val="002D4A94"/>
    <w:rsid w:val="002F56E3"/>
    <w:rsid w:val="003327B9"/>
    <w:rsid w:val="003335C4"/>
    <w:rsid w:val="003455A4"/>
    <w:rsid w:val="003516DF"/>
    <w:rsid w:val="00355690"/>
    <w:rsid w:val="00363D97"/>
    <w:rsid w:val="00387C85"/>
    <w:rsid w:val="00391D8B"/>
    <w:rsid w:val="003A75AA"/>
    <w:rsid w:val="003B29FD"/>
    <w:rsid w:val="003D1E26"/>
    <w:rsid w:val="003F50EB"/>
    <w:rsid w:val="00411529"/>
    <w:rsid w:val="00421B7D"/>
    <w:rsid w:val="0046231D"/>
    <w:rsid w:val="00477CA9"/>
    <w:rsid w:val="004B0C38"/>
    <w:rsid w:val="004B655A"/>
    <w:rsid w:val="004C2167"/>
    <w:rsid w:val="004F0091"/>
    <w:rsid w:val="004F7111"/>
    <w:rsid w:val="00502F42"/>
    <w:rsid w:val="005366DE"/>
    <w:rsid w:val="005511CE"/>
    <w:rsid w:val="005A19CC"/>
    <w:rsid w:val="005C353C"/>
    <w:rsid w:val="005C7457"/>
    <w:rsid w:val="006042FB"/>
    <w:rsid w:val="00644E7B"/>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7C1F4D"/>
    <w:rsid w:val="0080370D"/>
    <w:rsid w:val="00811BAA"/>
    <w:rsid w:val="00821CC2"/>
    <w:rsid w:val="008231DC"/>
    <w:rsid w:val="0083206F"/>
    <w:rsid w:val="00865114"/>
    <w:rsid w:val="00866903"/>
    <w:rsid w:val="00883837"/>
    <w:rsid w:val="00887010"/>
    <w:rsid w:val="00897A9C"/>
    <w:rsid w:val="008B29AC"/>
    <w:rsid w:val="008B6ED4"/>
    <w:rsid w:val="008C3D6E"/>
    <w:rsid w:val="008D3949"/>
    <w:rsid w:val="008D3EB8"/>
    <w:rsid w:val="008E06A9"/>
    <w:rsid w:val="008E5497"/>
    <w:rsid w:val="00913D72"/>
    <w:rsid w:val="00963210"/>
    <w:rsid w:val="00981471"/>
    <w:rsid w:val="00992F5B"/>
    <w:rsid w:val="0099643F"/>
    <w:rsid w:val="009A1201"/>
    <w:rsid w:val="009A7B4F"/>
    <w:rsid w:val="009C36D8"/>
    <w:rsid w:val="009C4618"/>
    <w:rsid w:val="009D09CE"/>
    <w:rsid w:val="009D710A"/>
    <w:rsid w:val="009D7EFD"/>
    <w:rsid w:val="009F1EF3"/>
    <w:rsid w:val="00A644CA"/>
    <w:rsid w:val="00A9158D"/>
    <w:rsid w:val="00AA2F77"/>
    <w:rsid w:val="00AA423A"/>
    <w:rsid w:val="00AB0462"/>
    <w:rsid w:val="00AC4466"/>
    <w:rsid w:val="00AF267D"/>
    <w:rsid w:val="00B109CC"/>
    <w:rsid w:val="00B10AF7"/>
    <w:rsid w:val="00B2060E"/>
    <w:rsid w:val="00B37805"/>
    <w:rsid w:val="00B545C3"/>
    <w:rsid w:val="00B640A1"/>
    <w:rsid w:val="00BA72EC"/>
    <w:rsid w:val="00BB307C"/>
    <w:rsid w:val="00BF0946"/>
    <w:rsid w:val="00C16FF6"/>
    <w:rsid w:val="00C35C83"/>
    <w:rsid w:val="00C44554"/>
    <w:rsid w:val="00C50631"/>
    <w:rsid w:val="00C53079"/>
    <w:rsid w:val="00C66768"/>
    <w:rsid w:val="00C72DE7"/>
    <w:rsid w:val="00C75EDB"/>
    <w:rsid w:val="00C93DB1"/>
    <w:rsid w:val="00CA6788"/>
    <w:rsid w:val="00CB27A8"/>
    <w:rsid w:val="00CC2AD1"/>
    <w:rsid w:val="00CD1EF9"/>
    <w:rsid w:val="00D12A7C"/>
    <w:rsid w:val="00D63345"/>
    <w:rsid w:val="00D73438"/>
    <w:rsid w:val="00D75024"/>
    <w:rsid w:val="00D760F2"/>
    <w:rsid w:val="00D80ACF"/>
    <w:rsid w:val="00D84396"/>
    <w:rsid w:val="00DA15C2"/>
    <w:rsid w:val="00DB0FAC"/>
    <w:rsid w:val="00DC6FC6"/>
    <w:rsid w:val="00DE7794"/>
    <w:rsid w:val="00DF3FC2"/>
    <w:rsid w:val="00DF4542"/>
    <w:rsid w:val="00E2497C"/>
    <w:rsid w:val="00E42581"/>
    <w:rsid w:val="00E44CC9"/>
    <w:rsid w:val="00E6628D"/>
    <w:rsid w:val="00EF02BA"/>
    <w:rsid w:val="00F2029A"/>
    <w:rsid w:val="00F23B14"/>
    <w:rsid w:val="00F5123E"/>
    <w:rsid w:val="00F671BB"/>
    <w:rsid w:val="00F7171E"/>
    <w:rsid w:val="00FC7C29"/>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paragraph" w:customStyle="1" w:styleId="consplusnormal0">
    <w:name w:val="consplusnormal"/>
    <w:basedOn w:val="a"/>
    <w:rsid w:val="00B545C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65715274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kk5.rosreest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osreestr.ru" TargetMode="External"/><Relationship Id="rId4" Type="http://schemas.openxmlformats.org/officeDocument/2006/relationships/webSettings" Target="webSettings.xml"/><Relationship Id="rId9" Type="http://schemas.openxmlformats.org/officeDocument/2006/relationships/hyperlink" Target="mailto:22press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E9A2B-52B4-4C67-928D-B8FD3773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3847</CharactersWithSpaces>
  <SharedDoc>false</SharedDoc>
  <HLinks>
    <vt:vector size="18" baseType="variant">
      <vt:variant>
        <vt:i4>1245191</vt:i4>
      </vt:variant>
      <vt:variant>
        <vt:i4>6</vt:i4>
      </vt:variant>
      <vt:variant>
        <vt:i4>0</vt:i4>
      </vt:variant>
      <vt:variant>
        <vt:i4>5</vt:i4>
      </vt:variant>
      <vt:variant>
        <vt:lpwstr>http://www.rosreestr.ru/</vt:lpwstr>
      </vt:variant>
      <vt:variant>
        <vt:lpwstr/>
      </vt:variant>
      <vt:variant>
        <vt:i4>786453</vt:i4>
      </vt:variant>
      <vt:variant>
        <vt:i4>3</vt:i4>
      </vt:variant>
      <vt:variant>
        <vt:i4>0</vt:i4>
      </vt:variant>
      <vt:variant>
        <vt:i4>5</vt:i4>
      </vt:variant>
      <vt:variant>
        <vt:lpwstr>mailto:22press_rosreestr@mail.ru</vt:lpwstr>
      </vt:variant>
      <vt:variant>
        <vt:lpwstr/>
      </vt:variant>
      <vt:variant>
        <vt:i4>4784192</vt:i4>
      </vt:variant>
      <vt:variant>
        <vt:i4>0</vt:i4>
      </vt:variant>
      <vt:variant>
        <vt:i4>0</vt:i4>
      </vt:variant>
      <vt:variant>
        <vt:i4>5</vt:i4>
      </vt:variant>
      <vt:variant>
        <vt:lpwstr>http://pkk5.rosreestr.ru/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PRED-ECONOM</cp:lastModifiedBy>
  <cp:revision>2</cp:revision>
  <dcterms:created xsi:type="dcterms:W3CDTF">2017-12-18T07:23:00Z</dcterms:created>
  <dcterms:modified xsi:type="dcterms:W3CDTF">2017-12-18T07:23:00Z</dcterms:modified>
</cp:coreProperties>
</file>